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山西省</w:t>
      </w:r>
      <w:r>
        <w:rPr>
          <w:rFonts w:hint="default" w:ascii="Times New Roman" w:hAnsi="Times New Roman" w:eastAsia="方正小标宋_GBK" w:cs="Times New Roman"/>
          <w:color w:val="000000"/>
          <w:sz w:val="44"/>
          <w:szCs w:val="44"/>
          <w:lang w:eastAsia="zh-CN"/>
        </w:rPr>
        <w:t>202</w:t>
      </w:r>
      <w:r>
        <w:rPr>
          <w:rFonts w:hint="eastAsia" w:ascii="Times New Roman" w:hAnsi="Times New Roman" w:eastAsia="方正小标宋_GBK" w:cs="Times New Roman"/>
          <w:color w:val="000000"/>
          <w:sz w:val="44"/>
          <w:szCs w:val="44"/>
          <w:lang w:val="en-US" w:eastAsia="zh-CN"/>
        </w:rPr>
        <w:t>4</w:t>
      </w:r>
      <w:r>
        <w:rPr>
          <w:rFonts w:hint="default" w:ascii="Times New Roman" w:hAnsi="Times New Roman" w:eastAsia="方正小标宋_GBK" w:cs="Times New Roman"/>
          <w:color w:val="000000"/>
          <w:sz w:val="44"/>
          <w:szCs w:val="44"/>
        </w:rPr>
        <w:t>年度考试录用公务员</w:t>
      </w:r>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公共科目考试大纲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科目笔试是公务员录用工作的重要环节，笔试内容坚持思想引领，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山西省</w:t>
      </w:r>
      <w:r>
        <w:rPr>
          <w:rFonts w:hint="default" w:ascii="Times New Roman" w:hAnsi="Times New Roman" w:eastAsia="仿宋_GB2312" w:cs="Times New Roman"/>
          <w:sz w:val="32"/>
          <w:szCs w:val="32"/>
        </w:rPr>
        <w:t>2024年度考试录用公务员公共科目笔试分为行政职业能力测验和申论两科，全部采用闭卷考试的方式。其中，行政职业能力测验为客观性试题，考试时限120分钟，满分100分。申论为主观性试题，</w:t>
      </w:r>
      <w:r>
        <w:rPr>
          <w:rFonts w:hint="eastAsia" w:ascii="Times New Roman" w:hAnsi="Times New Roman" w:eastAsia="仿宋_GB2312" w:cs="Times New Roman"/>
          <w:b w:val="0"/>
          <w:bCs w:val="0"/>
          <w:sz w:val="32"/>
          <w:szCs w:val="32"/>
        </w:rPr>
        <w:t>按照</w:t>
      </w:r>
      <w:r>
        <w:rPr>
          <w:rFonts w:hint="eastAsia" w:ascii="Times New Roman" w:hAnsi="Times New Roman" w:eastAsia="仿宋_GB2312" w:cs="Times New Roman"/>
          <w:b w:val="0"/>
          <w:bCs w:val="0"/>
          <w:sz w:val="32"/>
          <w:szCs w:val="32"/>
          <w:lang w:eastAsia="zh-CN"/>
        </w:rPr>
        <w:t>省市级和县</w:t>
      </w:r>
      <w:r>
        <w:rPr>
          <w:rFonts w:hint="eastAsia" w:ascii="Times New Roman" w:hAnsi="Times New Roman" w:eastAsia="仿宋_GB2312" w:cs="Times New Roman"/>
          <w:b w:val="0"/>
          <w:bCs w:val="0"/>
          <w:sz w:val="32"/>
          <w:szCs w:val="32"/>
        </w:rPr>
        <w:t>乡</w:t>
      </w:r>
      <w:r>
        <w:rPr>
          <w:rFonts w:hint="eastAsia" w:ascii="Times New Roman" w:hAnsi="Times New Roman" w:eastAsia="仿宋_GB2312" w:cs="Times New Roman"/>
          <w:b w:val="0"/>
          <w:bCs w:val="0"/>
          <w:sz w:val="32"/>
          <w:szCs w:val="32"/>
          <w:lang w:eastAsia="zh-CN"/>
        </w:rPr>
        <w:t>级两类</w:t>
      </w:r>
      <w:r>
        <w:rPr>
          <w:rFonts w:hint="eastAsia" w:ascii="Times New Roman" w:hAnsi="Times New Roman" w:eastAsia="仿宋_GB2312" w:cs="Times New Roman"/>
          <w:b w:val="0"/>
          <w:bCs w:val="0"/>
          <w:sz w:val="32"/>
          <w:szCs w:val="32"/>
        </w:rPr>
        <w:t>职位，分别命制试题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考试时限1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0分钟，满分100分。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一、行政职业能力测验</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楷体" w:cs="Times New Roman"/>
          <w:b/>
          <w:bCs/>
          <w:sz w:val="32"/>
          <w:szCs w:val="32"/>
        </w:rPr>
        <w:t>（一）常识判断。</w:t>
      </w:r>
      <w:r>
        <w:rPr>
          <w:rFonts w:hint="default" w:ascii="Times New Roman" w:hAnsi="Times New Roman" w:eastAsia="仿宋" w:cs="Times New Roman"/>
          <w:sz w:val="32"/>
          <w:szCs w:val="32"/>
        </w:rPr>
        <w:t>主要测查报考者在政治、经济、文化、科技等方面应知应会的基本知识以及运用这些知识进行分析判断的基本能力。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①坚持把实现人民对美好生活的向往作为现代化建设的出发点和落脚点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②共同富裕是社会主义的本质要求，是中国式现代化的重要特征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③在物质文明方面超越西方发达国家，是中国式现代化的主要目标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④遵循世界各国现代化的共同模式，是中国式现代化道路的基本经验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⑤中国式现代化新道路，创造了人类文明新形态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A．2项                                    B．3项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C．4项                                    D．5项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例题2：发展必须是科学发展，必须坚定不移贯彻创新、协调、绿色、开放、共享的发展理念。下列与之有关的说法，正确的有几项？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①创新发展注重的是解决发展动力问题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②协调发展注重的是解决社会公平正义问题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③绿色发展注重的是解决人与自然和谐共生问题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④开放发展注重的是解决发展内外联动问题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⑤共享发展注重的是解决发展不平衡问题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A．1项                                    B．2项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C．3项                                    D．4项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例题3：下列毛泽东诗词与创作背景对应正确的是：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A．宜将剩勇追穷寇，不可沽名学霸王——1949年解放南京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B．三十八年过去，弹指一挥间。可上九天揽月，可下五洋捉鳖，谈笑凯歌还——1941年延安整风运动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C．军叫工农革命，旗号镰刀斧头。匡庐一带不停留，要向潇湘直进——1948年淮海战役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D．金沙水拍云崖暖，大渡桥横铁索寒——1930年第一次反“围剿”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例题4：白居易有诗云：“绿蚁新醅酒，红泥小火炉。晚来天欲雪，能饮一杯无？”下列与该诗相关的说法正确的是：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“醅酒”的过程利用了微生物的作用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B．“绿蚁”是因为酒中添加了可食用调色剂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C．炉火燃烧的过程是内能转化成化学能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D．从雪到水的转化过程会释放出热量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例题5：关于常见气体的工业制备方法，下列说法错误的是：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A．木炭和二氧化碳可以作为制备一氧化碳的原料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B．电解水时制备得到的氢气体积比氧气体积更大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C．通过低温液化的方法可以分离出沼气中的甲烷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D．高温煅烧石灰石制备二氧化碳属于复分解反应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（二）言语理解与表达。</w:t>
      </w:r>
      <w:r>
        <w:rPr>
          <w:rFonts w:hint="default" w:ascii="Times New Roman" w:hAnsi="Times New Roman" w:eastAsia="仿宋_GB2312" w:cs="Times New Roman"/>
          <w:b w:val="0"/>
          <w:bCs w:val="0"/>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A．地域性   国际性             B．实践性   理论性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C．先进性   创新性             D．特殊性   普遍性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A．蔓延   守护   犹豫</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B．扩散   占据   退缩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C．泛滥   掌握   含糊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D．滋生   控制   迟疑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A．物尽其用   历久弥新     B．因地制宜   经久不衰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C．顺势而为   利在千秋     D．因势利导   泽被后世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文段最后一句话中的“这”指的是：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A．自然共同体意识的树立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B．对自然共同体的义务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C．热爱自然的感情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D．重建人与自然关系的愿望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5：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这段文字意在说明：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A．我们悠久的历史是各民族共同书写的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B．我们辽阔的疆域是各民族共同开拓的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C．我们灿烂的文化是各民族共同创造的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D．我们伟大的精神是各民族共同培育的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例题6：戴口罩等遮挡条件下的人脸识别其实是一项“老”技术，此前研究人员在解决军事刑侦和视频监控问题时就曾长期研究过该技术，并发展出诸多成熟应用。因此，</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rPr>
        <w:t>。但是以往的技术基础并没有完全打消人们对戴口罩人脸识别“先天不足”的顾虑。相较于以往，口罩遮挡住面部，使得人脸识别系统收集到的面部信息大量减少。不过研究表明，人脸识别的关键信息集中于眉毛和眼睛，只要模型训练得当，戴口罩人脸识别的准确率并不会大幅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A．提高识别精度才是这一技术的难点所在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B．该技术的稳定性和准确率是有一定基础的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C．人脸识别技术已经被广泛应用于各个领域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D．人脸识别并不需要对全脸进行整体识别</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这段文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例题7：根据所给材料，回答（1）～（5）题。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还有相当一部分海洋石刻遗产属于海洋生产与管理类别。典型者如泉州九日山上保存的10通宋代海交祈风石刻，是记载宋代泉州当地的海洋航行仪式习俗的珍贵石刻资料，也是历史上海上丝绸之路的重要记录。同样，在福建沿海不少港湾地区，还保留有大量的明清时期的“坞界碑”，这些也是反映当地海洋生产的石刻记录。此外，一部分海洋石刻还涉及历代官府对于海洋的管理或当地社区对于海洋活动的习俗规定。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（1）下面这段文字，最适合填入文中的哪个位置？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如我们在福建诏安地区调查时，发现了一通乾隆年间反映地方官府对于船户“烙号刊名”的示禁碑。在这块碑文中，清楚地载明严禁当地澳甲等海洋管理人员利用印烙船号的机会苛索船户费用的内容，展现了清代前期地方官员对于海洋的治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A．①                                      B．②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C．③                                      D．④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（答案：C。这段文字主要是说“展现了清代前期地方官员对于海洋的治理”。原文中与之最密切相关的，是“海洋生产与管理类别……”一段，由此可知，应该放在③处。因此，正确答案为C。）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（2）第二段中提到东南沿海一带贝丘遗址中的太阳崇拜石刻，意在证明：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A．海洋石刻艺术历史悠久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B．当地文化起源于原始崇拜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C．沿海地区很早就频繁利用海洋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D．海洋石刻最初以太阳崇拜为内容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（答案：A。根据文段“早在新石器时期，滨海地带生活的早期人类就已经开始利用石头作为表述工具”，说明贝丘遗址中的太阳崇拜石刻这一例证是为了证明“海洋石刻艺术历史悠久”。因此，正确答案为A。）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（3）这篇文章中提到的海洋石刻遗产与关键词对应错误的是：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A．悬钟所城——卫所、摩崖石刻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B．泉州九日山——祈风仪式、唐代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C．天后宫——海神、海洋宗教文化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D．坞界碑——海洋生产、明清时期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泉州九日山”出现在以下语句中：“典型者如泉州九日山上保存的10通宋代海交祈风石刻，是记载宋代泉州当地的海洋航行仪式习俗的珍贵石刻资料，也是历史上海上丝绸之路的重要记录。”可知“泉州九日山——祈风仪式、唐代”的对应中，“唐代”是错误的，应该是宋代。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（4）这篇文章接下来最可能谈论：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A．古代海洋石刻的常用工具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B．海洋石刻作为文化记忆的事例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C．海洋石刻遗产的保护举措</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D．与其他国家海洋石刻遗产的比较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（5）最适合做这篇文章标题的是：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A．古代海洋石刻：海洋文明兴衰的见证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B．海洋石刻遗产：海洋文明的记忆镌刻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C．沿海地区的记忆坐标：海洋石刻文书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D．复原海洋记忆的钥匙：海洋石刻发掘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（答案：B。“海洋石刻遗产”是全文核心，通过海洋石刻遗产探索海洋文明，因此，最适合做这篇文章标题的是“海洋石刻遗产：海洋文明的记忆镌刻”。因此，正确答案为B。）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（三）数量关系。</w:t>
      </w:r>
      <w:r>
        <w:rPr>
          <w:rFonts w:hint="default" w:ascii="Times New Roman" w:hAnsi="Times New Roman" w:eastAsia="仿宋_GB2312" w:cs="Times New Roman"/>
          <w:b w:val="0"/>
          <w:bCs w:val="0"/>
          <w:sz w:val="32"/>
          <w:szCs w:val="32"/>
        </w:rPr>
        <w:t>主要测查报考者理解、把握事物间量化关系和解决数量关系问题的能力，主要涉及数据关系的分析、推理、判断、运算等。常用题型有数字推理和数学运算两种。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   2   4   8   16  （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A．16         B．24          C．32          D．36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（答案：C。原数列是一个等比数列，后一项是前一项的2倍，故正确答案为C。）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数学运算：每道题给出一个算术式子或者表达数量关系的一段文字，要求报考者熟练运用加、减、乘、除等基本运算法则，并利用其他基本数学知识计算或推出结果。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例题1：某单位的会议室有5排共40个座位，每排座位数相同。小张和小李随机入座，则他们坐在同一排的概率：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A．不高于15%                      B．高于15%但低于20%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C．正好为20%                      D．高于20%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甲、乙、丙、丁、戊5名职工参加党史知识测验，每人得分均不相同。甲和乙的平均分比丙多2分，丁和戊的平均分比丁多5分，甲、乙的平均分比丙、丁、戊的平均分多3分。问丙、丁、戊三人得分的排序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A．丙&gt;丁&gt;戊                          B．丙&gt;戊&gt;丁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C．丁&gt;丙&gt;戊                          D．戊&gt;丙&gt;丁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（答案：D。假设丙得分为x，则甲+乙=2x+4，（甲+乙）/2=（丙+丁+戊）/3+3，则丁+戊=2x-3；戊-丁=10，则戊=x+3.5，丁=x-6.5。因此，正确答案为D。）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A．23                                     B．26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C．29                                     D．32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（答案：B。总人数是25的倍数且在70到80之间，只有75一个可能性，其中72人去西部地区。支教、村官和入伍分别有15、17和14人，总计有46人，剩余26人在国企工作。因此，正确答案为B。）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（四）判断推理。</w:t>
      </w:r>
      <w:r>
        <w:rPr>
          <w:rFonts w:hint="default" w:ascii="Times New Roman" w:hAnsi="Times New Roman" w:eastAsia="仿宋_GB2312" w:cs="Times New Roman"/>
          <w:b w:val="0"/>
          <w:bCs w:val="0"/>
          <w:sz w:val="32"/>
          <w:szCs w:val="32"/>
        </w:rPr>
        <w:t>主要测查报考者对各种事物关系的分析推理能力，主要涉及对图形、语词概念、事物关系和文字材料的理解、比较、组合、演绎和归纳等。常用题型有图形推理、定义判断、类比推理、逻辑判断四种。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图形推理：每道题给出一套或两套图形，要求报考者通过观察分析找出图形排列的规律，选出符合规律的一项。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例题1：把下面的六个图形分为两类，使每一类图形都有各自的共同特征或规律，分类正确的一项是：</w:t>
      </w:r>
      <w:r>
        <w:rPr>
          <w:rFonts w:hint="eastAsia" w:ascii="Times New Roman" w:hAnsi="Times New Roman" w:eastAsia="仿宋_GB2312" w:cs="Times New Roman"/>
          <w:b w:val="0"/>
          <w:bCs w:val="0"/>
          <w:sz w:val="32"/>
          <w:szCs w:val="32"/>
          <w:lang w:eastAsia="zh-CN"/>
        </w:rPr>
        <w:drawing>
          <wp:anchor distT="0" distB="0" distL="114300" distR="114300" simplePos="0" relativeHeight="251659264" behindDoc="0" locked="0" layoutInCell="1" allowOverlap="1">
            <wp:simplePos x="0" y="0"/>
            <wp:positionH relativeFrom="column">
              <wp:posOffset>-62230</wp:posOffset>
            </wp:positionH>
            <wp:positionV relativeFrom="page">
              <wp:posOffset>2609850</wp:posOffset>
            </wp:positionV>
            <wp:extent cx="5269865" cy="2091690"/>
            <wp:effectExtent l="0" t="0" r="3175" b="11430"/>
            <wp:wrapTopAndBottom/>
            <wp:docPr id="9" name="图片 9" descr="2e705d46c6ff189bec23ef9f3057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e705d46c6ff189bec23ef9f30577d2"/>
                    <pic:cNvPicPr>
                      <a:picLocks noChangeAspect="1"/>
                    </pic:cNvPicPr>
                  </pic:nvPicPr>
                  <pic:blipFill>
                    <a:blip r:embed="rId5"/>
                    <a:stretch>
                      <a:fillRect/>
                    </a:stretch>
                  </pic:blipFill>
                  <pic:spPr>
                    <a:xfrm>
                      <a:off x="0" y="0"/>
                      <a:ext cx="5269865" cy="20916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A．①②⑥，③④⑤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B．①③④，②⑤⑥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C．①④⑤，②③⑥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D．①④⑥，②③⑤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（答案：A。题干中每个图形中都有多个封闭图形和线段，考虑二者之间的位置关系。因此，正确答案为A。）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例题2：从所给的四个选项中，选择最合适的一个填入问号处，使之呈现一定的规律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61312" behindDoc="1" locked="0" layoutInCell="1" allowOverlap="1">
            <wp:simplePos x="0" y="0"/>
            <wp:positionH relativeFrom="column">
              <wp:posOffset>26035</wp:posOffset>
            </wp:positionH>
            <wp:positionV relativeFrom="page">
              <wp:posOffset>7152640</wp:posOffset>
            </wp:positionV>
            <wp:extent cx="4983480" cy="1897380"/>
            <wp:effectExtent l="0" t="0" r="0" b="7620"/>
            <wp:wrapTight wrapText="bothSides">
              <wp:wrapPolygon>
                <wp:start x="0" y="0"/>
                <wp:lineTo x="0" y="21513"/>
                <wp:lineTo x="21534" y="21513"/>
                <wp:lineTo x="21534" y="0"/>
                <wp:lineTo x="0" y="0"/>
              </wp:wrapPolygon>
            </wp:wrapTight>
            <wp:docPr id="10" name="图片 10" descr="170286680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2866803985"/>
                    <pic:cNvPicPr>
                      <a:picLocks noChangeAspect="1"/>
                    </pic:cNvPicPr>
                  </pic:nvPicPr>
                  <pic:blipFill>
                    <a:blip r:embed="rId6"/>
                    <a:stretch>
                      <a:fillRect/>
                    </a:stretch>
                  </pic:blipFill>
                  <pic:spPr>
                    <a:xfrm>
                      <a:off x="0" y="0"/>
                      <a:ext cx="4983480" cy="18973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例题3：下图是给定的空心立体图形，将其从任一面剖开，以下哪项可能是该立体图形的截面？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62336" behindDoc="0" locked="0" layoutInCell="1" allowOverlap="1">
            <wp:simplePos x="0" y="0"/>
            <wp:positionH relativeFrom="column">
              <wp:posOffset>241300</wp:posOffset>
            </wp:positionH>
            <wp:positionV relativeFrom="paragraph">
              <wp:posOffset>396240</wp:posOffset>
            </wp:positionV>
            <wp:extent cx="5097780" cy="2682240"/>
            <wp:effectExtent l="0" t="0" r="7620" b="0"/>
            <wp:wrapTopAndBottom/>
            <wp:docPr id="11" name="图片 11" descr="170286686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2866867850"/>
                    <pic:cNvPicPr>
                      <a:picLocks noChangeAspect="1"/>
                    </pic:cNvPicPr>
                  </pic:nvPicPr>
                  <pic:blipFill>
                    <a:blip r:embed="rId7"/>
                    <a:stretch>
                      <a:fillRect/>
                    </a:stretch>
                  </pic:blipFill>
                  <pic:spPr>
                    <a:xfrm>
                      <a:off x="0" y="0"/>
                      <a:ext cx="5097780" cy="2682240"/>
                    </a:xfrm>
                    <a:prstGeom prst="rect">
                      <a:avLst/>
                    </a:prstGeom>
                  </pic:spPr>
                </pic:pic>
              </a:graphicData>
            </a:graphic>
          </wp:anchor>
        </w:drawing>
      </w:r>
      <w:r>
        <w:rPr>
          <w:rFonts w:hint="default" w:ascii="Times New Roman" w:hAnsi="Times New Roman" w:eastAsia="仿宋_GB2312" w:cs="Times New Roman"/>
          <w:b w:val="0"/>
          <w:bCs w:val="0"/>
          <w:sz w:val="32"/>
          <w:szCs w:val="32"/>
        </w:rPr>
        <w:t> （答案：B。）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定义判断：每道题先对相关概念进行定义，然后分别列出四种情况，要求报考者严格依据定义选出一个最符合或最不符合该定义的答案。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根据上述定义，下列说法正确的是：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A．对某市幼儿园所有儿童进行口腔卫生检查，这属于非全面调查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B．对全国招生规模较大的前30所医学院校进行学生就业情况调查，这属于典型调查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C．对省内1～3年级的全体学生进行体育活动时间的调查，这属于非全面调查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D．对某市中考数学成绩最好的几所学校进行调查，总结相关经验，这属于抽样调查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根据题干，“全面调查”的定义要点是：一定范围内的普查；“非全面调查”的定义要点是：在总体中抽取部分对象；根据选择样本的方式又分为抽样调查和典型调查。A选项体现了一定范围内的普查，属于全面调查，叙述错误；B选项符合典型调查，叙述正确；C选项体现了一定范围内的普查，属于全面调查，叙述错误；D选项是典型调查，叙述错误。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例题2：物候现象是生物随着气候一年四季的周期性变化而发生的相应季节性变化的现象。影响物候现象的因素主要包括海拔的差异、经度的差异、纬度的差异和时间的差异。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下列诗句反映的物候现象受到海拔差异影响的是：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A．日出江花红胜火，春来江水绿如蓝</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B．人间四月芳菲尽，山寺桃花始盛开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C．竹外桃花三两枝，春江水暖鸭先知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D．羌笛何须怨杨柳，春风不度玉门关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例题3：数字农业是指用数字化技术，按人类需要的目标，对农业所涉及的对象和全过程进行数字化和可视化表达、设计、控制、管理等的农业。根据上述定义，下列没有体现数字农业的是：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A．遇到连绵阴雨天，果蔬容易滋生病害，需要及时喷药，采用轻型直升机几个小时就可以完成传统作业方式十多人几天才能完成的工作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B．在大数据平台，点击任一块田地，就可以看到这块田地的土壤酸碱度、肥水条件、环境温度湿度等指标，农民可以根据这些信息进行田地管理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C．某柑橘生产大省建立“柑橘产业大数据中心”，以数据驱动柑橘产业结构性改革和高质量发展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D．通过电子标签等技术，对单个产品赋予身份编码及认证信息，在生产管理、仓储、物流、销售等环节实现信息追溯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（答案：A。选项B体现了运用数字化技术进行农田管理；选项C和D，体现了“对农业所涉及对象”的全过程管理；选项A没有涉及数字化技术。因此，正确答案为A。）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类比推理：</w:t>
      </w:r>
      <w:r>
        <w:rPr>
          <w:rFonts w:hint="default" w:ascii="Times New Roman" w:hAnsi="Times New Roman" w:eastAsia="仿宋_GB2312" w:cs="Times New Roman"/>
          <w:b w:val="0"/>
          <w:bCs w:val="0"/>
          <w:sz w:val="32"/>
          <w:szCs w:val="32"/>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例题1：设计︰发放︰问卷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A．复制︰修改︰文字           B．预习︰复习︰考试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C．播放︰快进︰磁带      D．制定︰执行︰政策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例题2：自然声源 对于（    ）相当于（    ）对于 煤炭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A．人工声源；植物遗骸       B．燕语莺声；矿石燃料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C．传播介质；社区供暖       D．物体振动；地质危害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例题3：一望无垠∶辽阔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A．人云亦云∶重复               B．耳提面命∶教导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C．方兴未艾∶失败               D．厉兵秣马∶战斗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题干两词为同义关系，一望无垠是指辽阔，看不到边际。A项人云亦云是指没主见。B项耳提面命形容教诲恳切、要求严格，与教导同义。C项方兴未艾是正在发展的意思，与失败是反义。D项厉兵秣马是指准备战斗，并不是战斗。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逻辑判断：</w:t>
      </w:r>
      <w:r>
        <w:rPr>
          <w:rFonts w:hint="default" w:ascii="Times New Roman" w:hAnsi="Times New Roman" w:eastAsia="仿宋_GB2312" w:cs="Times New Roman"/>
          <w:b w:val="0"/>
          <w:bCs w:val="0"/>
          <w:sz w:val="32"/>
          <w:szCs w:val="32"/>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一切生命有机体都需要新陈代谢，否则生命就会停止。文明也是一样，如果长期自我封闭，必将走向衰落。交流互鉴是文明发展的本质要求。只有同其他文明交流互鉴、取长补短，才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由此可以推出：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A．一种文明如果没有长期自我封闭，就不会走向衰落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B．一种文明如果同其他文明交流互鉴、取长补短，就能保持旺盛生命活力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C．一种文明如果没有同其他文明交流互鉴，就不能保持旺盛生命活力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D．一种文明如果没有保持旺盛生命活力，它就没有同其他文明取长补短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A选项将题干中的条件前后件均加否定，不能推出；B选项将题干中的“只有…才…”转换为“如果…就…”，不能推出；C选项是对题干最后一句话的同义表述，可以推出；D选项将题干最后一句话的前后件对调，不能推出。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以下哪项如果为真，最能支持上述结论？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A．长时间坐着听课会增加身体对脊柱的压力，不利于学生的身体健康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B．即使是站立听课，也有个别学生会来回走动，影响课堂秩序，让他人分心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C．许多性格活泼的学生更喜欢站立听课，专注力更好，而内向的学生则愿意坐着听课，觉得更利于提高注意力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D．站立需要大脑平衡身体、控制轻微肌肉收缩，这些适度的压力会使人的注意力更加集中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结论是站立听课的学生比坐着的学生更加专注。A项说明坐着听讲不利于健康，没有提到专注力，与结论无关；B项说站立听课会来回走动，影响他人听讲，对结论有一定程度的质疑；C项说性格活泼的孩子愿意站立听课，而内向的喜欢坐着听课，与结论无关；D项说为什么站立听课能带来专注力的提升，阐明了原理，支持了结论。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某超市从前到后整齐排列着7排货架，放置着文具、零食、调料、日用品、酒、粮油和饮料7类商品，每类商品占据一排。已知：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①酒类排在调料类之前；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②文具类和调料类中间隔着3排；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③粮油类在零食类之后，中间隔着2排；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④日用品类紧挨在文具类前一排或者后一排。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（1）下列各项中，哪一类商品不可能排在第一排？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                               B．粮油类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C．酒类                                   D．日用品类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（2）按照从前到后，下列哪项排列是可能的？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A．文具类、零食类、日用品类、酒类、调料类、粮油类、饮料类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B．零食类、文具类、日用品类、粮油类、饮料类、调料类、酒类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C．日用品类、文具类、零食类、酒类、粮油类、调料类、饮料类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D．日用品类、文具类、酒类、零食类、饮料类、调料类、粮油类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（3）零食类和文具类中间最多可能隔几排？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A．2排                                    B．3排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C．4排                                    D．5排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（4）如果零食类排在第1排，那么下列哪项中的两类商品不可能是相邻的两排？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A．文具类和粮油类               B．零食类和文具类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C．日用品类和酒类               D．零食类和日用品类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（5）如果饮料类排在第1排，则以下哪项是可能的？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A．零食类排在文具类前一排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B．粮油类排在调料类前一排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D．酒类排在文具类前一排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（五）资料分析。</w:t>
      </w:r>
      <w:r>
        <w:rPr>
          <w:rFonts w:hint="default" w:ascii="Times New Roman" w:hAnsi="Times New Roman" w:eastAsia="仿宋_GB2312" w:cs="Times New Roman"/>
          <w:b w:val="0"/>
          <w:bCs w:val="0"/>
          <w:sz w:val="32"/>
          <w:szCs w:val="32"/>
        </w:rPr>
        <w:t>主要测查报考者对文字、数字、图表等统计性资料的综合理解与分析加工能力。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2020年H省秋粮平均生产成本及同比增速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单位：元/亩（成本）、%（增速）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drawing>
          <wp:anchor distT="0" distB="0" distL="114300" distR="114300" simplePos="0" relativeHeight="251663360" behindDoc="0" locked="0" layoutInCell="1" allowOverlap="1">
            <wp:simplePos x="0" y="0"/>
            <wp:positionH relativeFrom="column">
              <wp:posOffset>406400</wp:posOffset>
            </wp:positionH>
            <wp:positionV relativeFrom="paragraph">
              <wp:posOffset>-8432800</wp:posOffset>
            </wp:positionV>
            <wp:extent cx="5273040" cy="5151120"/>
            <wp:effectExtent l="0" t="0" r="0" b="0"/>
            <wp:wrapTopAndBottom/>
            <wp:docPr id="12" name="图片 12" descr="170286706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2867062577"/>
                    <pic:cNvPicPr>
                      <a:picLocks noChangeAspect="1"/>
                    </pic:cNvPicPr>
                  </pic:nvPicPr>
                  <pic:blipFill>
                    <a:blip r:embed="rId8"/>
                    <a:stretch>
                      <a:fillRect/>
                    </a:stretch>
                  </pic:blipFill>
                  <pic:spPr>
                    <a:xfrm>
                      <a:off x="0" y="0"/>
                      <a:ext cx="5273040" cy="51511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（1）2019年，H省秋粮稻谷的平均生产成本约为多少元/亩？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A．548                                     B．533</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C．439                                     D．450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（2）将2020年H省秋粮机耕、机播、机收、排灌成本按同比增量从高到低的顺序排列，以下正确的是：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A．机耕、机播、机收、排灌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B．机收、排灌、机耕、机播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C．机耕、机播、排灌、机收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D．机收、排灌、机播、机耕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（3）2020年，H省秋粮玉米和稻谷的亩产与上年相比：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A．仅稻谷亩产高于上年水平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B．仅玉米亩产高于上年水平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C．两者亩产均低于上年水平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D．两者亩产均高于上年水平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（4）如种植收益=产值？生产成本，则2020年H省秋粮稻谷平均每亩的种植收益约是玉米的多少倍？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A．0.5                                      B．0.7</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C．1.6                                      D．1.9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（5）2020年，H省农民老王在承包地中种植秋粮玉米，按全省平均生产成本估算，他在种子和农药上需要花费2000元。如亦按全省平均生产成本估算，他需要花费的人工成本在以下哪个范围内？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A．不到2000元                     B．2000～2500元之间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C．2500～3000元之间          D．超过3000元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color w:val="E54C5E" w:themeColor="accent6"/>
          <w:sz w:val="32"/>
          <w:szCs w:val="32"/>
          <w:highlight w:val="none"/>
          <w14:textFill>
            <w14:solidFill>
              <w14:schemeClr w14:val="accent6"/>
            </w14:solidFill>
          </w14:textFill>
        </w:rPr>
      </w:pPr>
      <w:r>
        <w:rPr>
          <w:rFonts w:hint="eastAsia" w:ascii="Times New Roman" w:hAnsi="Times New Roman" w:eastAsia="仿宋_GB2312" w:cs="Times New Roman"/>
          <w:b w:val="0"/>
          <w:bCs w:val="0"/>
          <w:sz w:val="32"/>
          <w:szCs w:val="32"/>
        </w:rPr>
        <w:t>申论试卷由注意事项、给定资料和作答要求三部分组成。</w:t>
      </w:r>
      <w:r>
        <w:rPr>
          <w:rFonts w:hint="default" w:ascii="Times New Roman" w:hAnsi="Times New Roman" w:eastAsia="仿宋_GB2312" w:cs="Times New Roman"/>
          <w:b w:val="0"/>
          <w:bCs w:val="0"/>
          <w:sz w:val="32"/>
          <w:szCs w:val="32"/>
        </w:rPr>
        <w:t>主要测查报考者的阅读理解能力、综合分析能力、提出和解决问题能力、</w:t>
      </w:r>
      <w:r>
        <w:rPr>
          <w:rFonts w:hint="eastAsia" w:ascii="Times New Roman" w:hAnsi="Times New Roman" w:eastAsia="仿宋_GB2312" w:cs="Times New Roman"/>
          <w:b w:val="0"/>
          <w:bCs w:val="0"/>
          <w:sz w:val="32"/>
          <w:szCs w:val="32"/>
        </w:rPr>
        <w:t>贯彻执行能力、</w:t>
      </w:r>
      <w:r>
        <w:rPr>
          <w:rFonts w:hint="eastAsia" w:ascii="Times New Roman" w:hAnsi="Times New Roman" w:eastAsia="仿宋_GB2312" w:cs="Times New Roman"/>
          <w:b w:val="0"/>
          <w:bCs w:val="0"/>
          <w:sz w:val="32"/>
          <w:szCs w:val="32"/>
          <w:lang w:eastAsia="zh-CN"/>
        </w:rPr>
        <w:t>依法办事能力、公共服务能力、</w:t>
      </w:r>
      <w:r>
        <w:rPr>
          <w:rFonts w:hint="default" w:ascii="Times New Roman" w:hAnsi="Times New Roman" w:eastAsia="仿宋_GB2312" w:cs="Times New Roman"/>
          <w:b w:val="0"/>
          <w:bCs w:val="0"/>
          <w:sz w:val="32"/>
          <w:szCs w:val="32"/>
        </w:rPr>
        <w:t>文字表达能力</w:t>
      </w:r>
      <w:r>
        <w:rPr>
          <w:rFonts w:hint="eastAsia" w:ascii="Times New Roman" w:hAnsi="Times New Roman" w:eastAsia="仿宋_GB2312" w:cs="Times New Roman"/>
          <w:b w:val="0"/>
          <w:bCs w:val="0"/>
          <w:sz w:val="32"/>
          <w:szCs w:val="32"/>
        </w:rPr>
        <w:t>和应用写作能力</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阅读理解能力</w:t>
      </w:r>
      <w:r>
        <w:rPr>
          <w:rFonts w:hint="default" w:ascii="Times New Roman" w:hAnsi="Times New Roman" w:eastAsia="仿宋_GB2312" w:cs="Times New Roman"/>
          <w:b w:val="0"/>
          <w:bCs w:val="0"/>
          <w:sz w:val="32"/>
          <w:szCs w:val="32"/>
        </w:rPr>
        <w:t>——全面把握给定资料的相关内容，准确理解给定资料的含义，准确提炼事实所包含的观点，并揭示所反映的本质问题。</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综合分析能力</w:t>
      </w:r>
      <w:r>
        <w:rPr>
          <w:rFonts w:hint="default" w:ascii="Times New Roman" w:hAnsi="Times New Roman" w:eastAsia="仿宋_GB2312" w:cs="Times New Roman"/>
          <w:b w:val="0"/>
          <w:bCs w:val="0"/>
          <w:sz w:val="32"/>
          <w:szCs w:val="32"/>
        </w:rPr>
        <w:t>——对给定资料的全部或部分的内容、观点或问题进行分析和归纳，多角度地思考资料内容，作出合理的推断或评价。</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提出和解决问题能力</w:t>
      </w:r>
      <w:r>
        <w:rPr>
          <w:rFonts w:hint="default" w:ascii="Times New Roman" w:hAnsi="Times New Roman" w:eastAsia="仿宋_GB2312" w:cs="Times New Roman"/>
          <w:b w:val="0"/>
          <w:bCs w:val="0"/>
          <w:sz w:val="32"/>
          <w:szCs w:val="32"/>
        </w:rPr>
        <w:t>——准确理解把握给定资料所反映的问题，提出解决问题的措施或办法。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贯彻执行能力</w:t>
      </w:r>
      <w:r>
        <w:rPr>
          <w:rFonts w:hint="default" w:ascii="Times New Roman" w:hAnsi="Times New Roman" w:eastAsia="仿宋_GB2312" w:cs="Times New Roman"/>
          <w:b w:val="0"/>
          <w:bCs w:val="0"/>
          <w:sz w:val="32"/>
          <w:szCs w:val="32"/>
        </w:rPr>
        <w:t>——能够准确理解工作目标和组织意图，遵循依法行政的原则，根据客观实际情况，及时有效地完成任务。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依法办事能力</w:t>
      </w:r>
      <w:r>
        <w:rPr>
          <w:rFonts w:hint="default" w:ascii="Times New Roman" w:hAnsi="Times New Roman" w:eastAsia="仿宋_GB2312" w:cs="Times New Roman"/>
          <w:b w:val="0"/>
          <w:bCs w:val="0"/>
          <w:sz w:val="32"/>
          <w:szCs w:val="32"/>
        </w:rPr>
        <w:t>——遵循依法行政的原则，综合运用恰当有效的方法完成任务、解决问题、实现目标。</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公共服务能力</w:t>
      </w:r>
      <w:r>
        <w:rPr>
          <w:rFonts w:hint="default" w:ascii="Times New Roman" w:hAnsi="Times New Roman" w:eastAsia="仿宋_GB2312" w:cs="Times New Roman"/>
          <w:b w:val="0"/>
          <w:bCs w:val="0"/>
          <w:sz w:val="32"/>
          <w:szCs w:val="32"/>
        </w:rPr>
        <w:t>——能够全面准确了解公众需求和愿望，灵活运用各种措施和办法为公众提供优质、高效、便捷的服务。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文字表达能力</w:t>
      </w:r>
      <w:r>
        <w:rPr>
          <w:rFonts w:hint="default" w:ascii="Times New Roman" w:hAnsi="Times New Roman" w:eastAsia="仿宋_GB2312" w:cs="Times New Roman"/>
          <w:b w:val="0"/>
          <w:bCs w:val="0"/>
          <w:sz w:val="32"/>
          <w:szCs w:val="32"/>
        </w:rPr>
        <w:t>——熟练使用指定的语种，对事件、观点进行准确合理的说明、陈述或阐释。</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_GB2312" w:eastAsia="仿宋_GB2312"/>
          <w:color w:val="000000"/>
          <w:sz w:val="32"/>
          <w:szCs w:val="32"/>
        </w:rPr>
      </w:pPr>
      <w:r>
        <w:rPr>
          <w:rFonts w:ascii="仿宋_GB2312" w:eastAsia="仿宋_GB2312"/>
          <w:b/>
          <w:bCs/>
          <w:color w:val="000000"/>
          <w:kern w:val="0"/>
          <w:sz w:val="32"/>
          <w:szCs w:val="32"/>
        </w:rPr>
        <w:t>应用写作能力</w:t>
      </w:r>
      <w:r>
        <w:rPr>
          <w:color w:val="000000"/>
          <w:kern w:val="0"/>
          <w:sz w:val="32"/>
          <w:szCs w:val="32"/>
        </w:rPr>
        <w:t>——</w:t>
      </w:r>
      <w:r>
        <w:rPr>
          <w:rFonts w:ascii="仿宋_GB2312" w:eastAsia="仿宋_GB2312"/>
          <w:color w:val="000000"/>
          <w:sz w:val="32"/>
          <w:szCs w:val="32"/>
        </w:rPr>
        <w:t>要求能够</w:t>
      </w:r>
      <w:r>
        <w:rPr>
          <w:rFonts w:hint="eastAsia" w:ascii="仿宋_GB2312" w:eastAsia="仿宋_GB2312"/>
          <w:color w:val="000000"/>
          <w:sz w:val="32"/>
          <w:szCs w:val="32"/>
        </w:rPr>
        <w:t>结合</w:t>
      </w:r>
      <w:r>
        <w:rPr>
          <w:rFonts w:ascii="仿宋_GB2312" w:eastAsia="仿宋_GB2312"/>
          <w:color w:val="000000"/>
          <w:sz w:val="32"/>
          <w:szCs w:val="32"/>
        </w:rPr>
        <w:t>材料</w:t>
      </w:r>
      <w:r>
        <w:rPr>
          <w:rFonts w:hint="eastAsia" w:ascii="仿宋_GB2312" w:eastAsia="仿宋_GB2312"/>
          <w:color w:val="000000"/>
          <w:sz w:val="32"/>
          <w:szCs w:val="32"/>
        </w:rPr>
        <w:t>，</w:t>
      </w:r>
      <w:r>
        <w:rPr>
          <w:rFonts w:ascii="仿宋_GB2312" w:eastAsia="仿宋_GB2312"/>
          <w:color w:val="000000"/>
          <w:sz w:val="32"/>
          <w:szCs w:val="32"/>
        </w:rPr>
        <w:t>根据</w:t>
      </w:r>
      <w:r>
        <w:rPr>
          <w:rFonts w:hint="eastAsia" w:ascii="仿宋_GB2312" w:eastAsia="仿宋_GB2312"/>
          <w:color w:val="000000"/>
          <w:sz w:val="32"/>
          <w:szCs w:val="32"/>
        </w:rPr>
        <w:t>工作任务</w:t>
      </w:r>
      <w:r>
        <w:rPr>
          <w:rFonts w:ascii="仿宋_GB2312" w:eastAsia="仿宋_GB2312"/>
          <w:color w:val="000000"/>
          <w:sz w:val="32"/>
          <w:szCs w:val="32"/>
        </w:rPr>
        <w:t>，恰当组织语言，准确、得体、有条理地进行书面表达。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作答要求</w:t>
      </w:r>
    </w:p>
    <w:p>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（一）行政职业能力测验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报考者务必携带的考试文具包括黑色字迹的钢笔或签字笔、2B铅笔和橡皮。报考者必须用2B铅笔在指定位置上填涂准考证号，并在答题卡上作答。在试题本或其他位置作答一律无效。 </w:t>
      </w:r>
    </w:p>
    <w:p>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（二）申论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试卷包括</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注意事项</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多个给定资料和作答要求，考生根据给定资料，综合运用相关知识进行分析判断、整理加工，按照作答要求进行答题</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试题主要是主观性试题。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TZlMjk3NzE1ZTQxNGExZjkyMDNjMmY5YmFmZWQifQ=="/>
  </w:docVars>
  <w:rsids>
    <w:rsidRoot w:val="00000000"/>
    <w:rsid w:val="068C5304"/>
    <w:rsid w:val="081F15BC"/>
    <w:rsid w:val="13FA5FFA"/>
    <w:rsid w:val="1CD53A47"/>
    <w:rsid w:val="1E75707A"/>
    <w:rsid w:val="24062489"/>
    <w:rsid w:val="2C7F577D"/>
    <w:rsid w:val="3C3C71E7"/>
    <w:rsid w:val="412030CA"/>
    <w:rsid w:val="47323E71"/>
    <w:rsid w:val="475F2A7D"/>
    <w:rsid w:val="4E336C5F"/>
    <w:rsid w:val="64E6502C"/>
    <w:rsid w:val="68E250A8"/>
    <w:rsid w:val="746C5BB4"/>
    <w:rsid w:val="76391AC6"/>
    <w:rsid w:val="7A9576F6"/>
    <w:rsid w:val="7DCE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自定义1"/>
    <w:basedOn w:val="1"/>
    <w:uiPriority w:val="0"/>
    <w:pPr>
      <w:widowControl/>
      <w:spacing w:line="660" w:lineRule="exact"/>
    </w:pPr>
    <w:rPr>
      <w:rFonts w:ascii="Times New Roman" w:hAnsi="Times New Roman" w:eastAsia="仿宋_GB2312" w:cs="宋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2022-08-16T01:25:00Z</dcterms:created>
  <dc:creator>1</dc:creator>
  <cp:lastModifiedBy>哈哈</cp:lastModifiedBy>
  <cp:lastPrinted>2023-12-18T02:03:00Z</cp:lastPrinted>
  <dcterms:modified xsi:type="dcterms:W3CDTF">2024-01-04T08:25:40Z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0BB73BF85F8743B887D5A77FEF950B9C</vt:lpwstr>
  </property>
</Properties>
</file>